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3276"/>
      </w:tblGrid>
      <w:tr>
        <w:trPr>
          <w:trHeight w:val="400" w:hRule="atLeast"/>
        </w:trPr>
        <w:tc>
          <w:tcPr>
            <w:tcW w:w="9962"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bookmarkStart w:id="0" w:name="_Hlk176367904"/>
            <w:r>
              <w:rPr>
                <w:rFonts w:hint="eastAsia" w:ascii="ＭＳ ゴシック" w:hAnsi="ＭＳ ゴシック" w:eastAsia="ＭＳ ゴシック"/>
              </w:rPr>
              <w:t>認定権者記載欄</w:t>
            </w:r>
            <w:bookmarkEnd w:id="0"/>
          </w:p>
        </w:tc>
      </w:tr>
      <w:tr>
        <w:trPr>
          <w:trHeight w:val="305"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154"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276"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様式第５－（ロ）－①</w:t>
      </w:r>
    </w:p>
    <w:tbl>
      <w:tblPr>
        <w:tblStyle w:val="11"/>
        <w:tblW w:w="1003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035"/>
      </w:tblGrid>
      <w:tr>
        <w:trPr/>
        <w:tc>
          <w:tcPr>
            <w:tcW w:w="100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ind w:left="182"/>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中小企業信用保険法第２条第５項第５号の規定による認定申請書（ロ－①）</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寄居町長　宛</w:t>
            </w:r>
          </w:p>
          <w:p>
            <w:pPr>
              <w:pStyle w:val="0"/>
              <w:suppressAutoHyphens w:val="1"/>
              <w:kinsoku w:val="0"/>
              <w:overflowPunct w:val="0"/>
              <w:autoSpaceDE w:val="0"/>
              <w:autoSpaceDN w:val="0"/>
              <w:adjustRightInd w:val="0"/>
              <w:ind w:left="708" w:leftChars="337"/>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708" w:leftChars="337"/>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708" w:leftChars="337"/>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708" w:leftChars="337"/>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708" w:leftChars="337"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ind w:left="141" w:leftChars="67" w:right="143"/>
              <w:jc w:val="left"/>
              <w:textAlignment w:val="baseline"/>
              <w:rPr>
                <w:rFonts w:hint="default" w:ascii="ＭＳ ゴシック" w:hAnsi="ＭＳ ゴシック" w:eastAsia="ＭＳ ゴシック"/>
                <w:color w:val="000000"/>
                <w:spacing w:val="16"/>
                <w:kern w:val="0"/>
                <w:sz w:val="20"/>
              </w:rPr>
            </w:pPr>
            <w:r>
              <w:rPr>
                <w:rFonts w:hint="eastAsia" w:ascii="ＭＳ ゴシック" w:hAnsi="ＭＳ ゴシック" w:eastAsia="ＭＳ ゴシック"/>
                <w:color w:val="000000"/>
                <w:kern w:val="0"/>
                <w:sz w:val="20"/>
              </w:rPr>
              <w:t>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pPr>
              <w:pStyle w:val="33"/>
              <w:jc w:val="left"/>
              <w:rPr>
                <w:rFonts w:hint="default"/>
                <w:sz w:val="18"/>
              </w:rPr>
            </w:pPr>
            <w:r>
              <w:rPr>
                <w:rFonts w:hint="eastAsia"/>
                <w:sz w:val="18"/>
              </w:rPr>
              <w:t>（表</w:t>
            </w:r>
            <w:r>
              <w:rPr>
                <w:rFonts w:hint="eastAsia"/>
                <w:sz w:val="18"/>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63"/>
              <w:gridCol w:w="3265"/>
              <w:gridCol w:w="3265"/>
            </w:tblGrid>
            <w:tr>
              <w:trPr>
                <w:trHeight w:val="366" w:hRule="atLeast"/>
              </w:trPr>
              <w:tc>
                <w:tcPr>
                  <w:tcW w:w="32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eastAsia="ＭＳ ゴシック"/>
                      <w:color w:val="000000"/>
                      <w:spacing w:val="16"/>
                      <w:kern w:val="0"/>
                    </w:rPr>
                  </w:pPr>
                </w:p>
              </w:tc>
              <w:tc>
                <w:tcPr>
                  <w:tcW w:w="32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r>
              <w:trPr>
                <w:trHeight w:val="381" w:hRule="atLeast"/>
              </w:trPr>
              <w:tc>
                <w:tcPr>
                  <w:tcW w:w="32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c>
                <w:tcPr>
                  <w:tcW w:w="3265" w:type="dxa"/>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firstLine="2"/>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w:t>
            </w:r>
            <w:r>
              <w:rPr>
                <w:rFonts w:hint="eastAsia" w:ascii="ＭＳ ゴシック" w:hAnsi="ＭＳ ゴシック" w:eastAsia="ＭＳ ゴシック"/>
                <w:color w:val="000000"/>
                <w:spacing w:val="16"/>
                <w:kern w:val="0"/>
                <w:sz w:val="1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40" w:lineRule="exact"/>
              <w:jc w:val="center"/>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wordWrap w:val="0"/>
              <w:overflowPunct w:val="0"/>
              <w:autoSpaceDE w:val="0"/>
              <w:autoSpaceDN w:val="0"/>
              <w:adjustRightInd w:val="0"/>
              <w:spacing w:line="12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①原油等の仕入単価の上昇（注２）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Ｅ</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上昇率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Ｅ：原油等の最近１か月間における平均仕入れ単価（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ｅ：Ｅの期間に対応する前年１か月間の平均仕入れ単価（</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円（注４）</w:t>
            </w:r>
          </w:p>
          <w:p>
            <w:pPr>
              <w:pStyle w:val="0"/>
              <w:suppressAutoHyphens w:val="1"/>
              <w:kinsoku w:val="0"/>
              <w:wordWrap w:val="0"/>
              <w:overflowPunct w:val="0"/>
              <w:autoSpaceDE w:val="0"/>
              <w:autoSpaceDN w:val="0"/>
              <w:adjustRightInd w:val="0"/>
              <w:spacing w:line="6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②原油等が売上原価に占める割合（注２）</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Ｓ</w:t>
            </w:r>
            <w:r>
              <w:rPr>
                <w:rFonts w:hint="default"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依存率</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Ｃ：最近１か月の売上原価（　　　　年　　　月）</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Ｓ：Ｃの売上原価に対応する原油等の仕入額</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③製品等価格への転嫁の状況（注３）</w:t>
            </w:r>
          </w:p>
          <w:p>
            <w:pPr>
              <w:pStyle w:val="0"/>
              <w:suppressAutoHyphens w:val="1"/>
              <w:kinsoku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ａ</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230" w:lineRule="exac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Ｐ＝</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Ａ：最近３か月間の原油等の仕入額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ａ：Ａの期間に対応する前年３か月間の原油等の仕入額</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Ｂ：最近３か月間の売上高　</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wordWrap w:val="0"/>
              <w:overflowPunct w:val="0"/>
              <w:autoSpaceDE w:val="0"/>
              <w:autoSpaceDN w:val="0"/>
              <w:adjustRightInd w:val="0"/>
              <w:spacing w:line="240" w:lineRule="exact"/>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ｂ：Ｂの期間に対応する前年３か月間の売上高</w:t>
            </w:r>
          </w:p>
          <w:p>
            <w:pPr>
              <w:pStyle w:val="0"/>
              <w:suppressAutoHyphens w:val="1"/>
              <w:kinsoku w:val="0"/>
              <w:wordWrap w:val="0"/>
              <w:overflowPunct w:val="0"/>
              <w:autoSpaceDE w:val="0"/>
              <w:autoSpaceDN w:val="0"/>
              <w:adjustRightInd w:val="0"/>
              <w:spacing w:line="240" w:lineRule="exact"/>
              <w:ind w:firstLine="630"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spacing w:val="16"/>
                <w:kern w:val="0"/>
              </w:rPr>
              <w:t xml:space="preserve"> </w:t>
            </w:r>
            <w:r>
              <w:rPr>
                <w:rFonts w:hint="default" w:ascii="ＭＳ ゴシック" w:hAnsi="ＭＳ ゴシック" w:eastAsia="ＭＳ ゴシック"/>
                <w:color w:val="000000"/>
                <w:spacing w:val="16"/>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円（注４）</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28575</wp:posOffset>
                      </wp:positionV>
                      <wp:extent cx="5730240" cy="0"/>
                      <wp:effectExtent l="0" t="635" r="2857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position-vertical-relative:text;z-index:2;mso-position-horizontal-relative:margin;position:absolute;mso-position-horizontal:center;mso-wrap-distance-bottom:0pt;mso-wrap-distance-left:9pt;mso-wrap-distance-right:9pt;mso-wrap-distance-top:0pt;" o:spid="_x0000_s1026" o:allowincell="t" o:allowoverlap="t" filled="f" stroked="t" strokecolor="#000000" strokeweight="0.75pt" o:spt="20" from="0pt,2.25pt" to="451.20000000000005pt,2.25pt">
                      <v:fill/>
                      <v:stroke linestyle="single" endcap="flat" dashstyle="longdashdot" filltype="solid"/>
                      <v:textbox style="layout-flow:horizontal;"/>
                      <v:imagedata o:title=""/>
                      <w10:wrap type="none" anchorx="margin" anchory="text"/>
                    </v:line>
                  </w:pict>
                </mc:Fallback>
              </mc:AlternateConten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寄産収第　　　　　号　　　　　　　　　　　　　　　　　令和　　年　　月　　日</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649" w:firstLineChars="26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　　　　　　　　　　　　　　　　　　　　　　　</w:t>
            </w:r>
            <w:bookmarkStart w:id="1" w:name="_GoBack"/>
            <w:bookmarkEnd w:id="1"/>
            <w:r>
              <w:rPr>
                <w:rFonts w:hint="eastAsia" w:ascii="ＭＳ ゴシック" w:hAnsi="ＭＳ ゴシック" w:eastAsia="ＭＳ ゴシック"/>
                <w:color w:val="000000"/>
                <w:spacing w:val="16"/>
                <w:kern w:val="0"/>
              </w:rPr>
              <w:t>　寄居町長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hanging="862"/>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（注２）上昇率及び依存率が２０％以上となっていること。　　　　（注３）Ｐ＞０となっていること。　　　　（注４）申請者全体の値を記載。</w:t>
      </w:r>
    </w:p>
    <w:p>
      <w:pPr>
        <w:pStyle w:val="0"/>
        <w:suppressAutoHyphens w:val="1"/>
        <w:ind w:left="1230" w:hanging="123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（留意事項）</w:t>
      </w:r>
    </w:p>
    <w:p>
      <w:pPr>
        <w:pStyle w:val="24"/>
        <w:numPr>
          <w:ilvl w:val="0"/>
          <w:numId w:val="1"/>
        </w:numPr>
        <w:suppressAutoHyphens w:val="1"/>
        <w:ind w:leftChars="0" w:right="210" w:rightChars="10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本認定とは別に、金融機関及び信用保証協会による金融上の審査があります。</w:t>
      </w:r>
    </w:p>
    <w:p>
      <w:pPr>
        <w:pStyle w:val="24"/>
        <w:numPr>
          <w:ilvl w:val="0"/>
          <w:numId w:val="1"/>
        </w:numPr>
        <w:suppressAutoHyphens w:val="1"/>
        <w:ind w:leftChars="0" w:right="210" w:rightChars="10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sz w:val="14"/>
        </w:rPr>
        <w:t>市町村長又は特別区長から認定を受けた日から３０日以内に金融機関又は信用保証協会に対して、保証の申込みを行うことが必要です。</w:t>
      </w:r>
    </w:p>
    <w:sectPr>
      <w:headerReference r:id="rId7" w:type="even"/>
      <w:headerReference r:id="rId8" w:type="default"/>
      <w:footerReference r:id="rId10" w:type="even"/>
      <w:footerReference r:id="rId11" w:type="default"/>
      <w:headerReference r:id="rId6" w:type="first"/>
      <w:footerReference r:id="rId9" w:type="first"/>
      <w:pgSz w:w="11906" w:h="16838"/>
      <w:pgMar w:top="567" w:right="1134" w:bottom="567" w:left="1134" w:header="454"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00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r>
      <w:rPr>
        <w:rFonts w:hint="eastAsia" w:ascii="ＭＳ ゴシック" w:hAnsi="ＭＳ ゴシック" w:eastAsia="ＭＳ ゴシック"/>
      </w:rPr>
      <w:t>R6.12.1</w:t>
    </w:r>
    <w:r>
      <w:rPr>
        <w:rFonts w:hint="eastAsia" w:ascii="ＭＳ ゴシック" w:hAnsi="ＭＳ ゴシック" w:eastAsia="ＭＳ ゴシック"/>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B64DF8"/>
    <w:lvl w:ilvl="0" w:tplc="B87AB84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3</Words>
  <Characters>942</Characters>
  <Application>JUST Note</Application>
  <Lines>78</Lines>
  <Paragraphs>45</Paragraphs>
  <Company>METI</Company>
  <CharactersWithSpaces>1635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上田　圭一郎</cp:lastModifiedBy>
  <cp:lastPrinted>2024-09-30T11:50:00Z</cp:lastPrinted>
  <dcterms:created xsi:type="dcterms:W3CDTF">2024-09-30T11:54:00Z</dcterms:created>
  <dcterms:modified xsi:type="dcterms:W3CDTF">2026-04-14T05:19:25Z</dcterms:modified>
  <cp:revision>21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