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spacing w:line="260" w:lineRule="exac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様式第４－①</w:t>
      </w:r>
    </w:p>
    <w:tbl>
      <w:tblPr>
        <w:tblStyle w:val="11"/>
        <w:tblW w:w="901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015"/>
      </w:tblGrid>
      <w:tr>
        <w:trPr/>
        <w:tc>
          <w:tcPr>
            <w:tcW w:w="9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中小企業信用保険法第２条第５項第４号の規定による認定申請書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right="286" w:rightChars="136"/>
              <w:jc w:val="righ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令和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寄居町長　宛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884" w:leftChars="42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申請者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884" w:leftChars="42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住　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884" w:leftChars="42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884" w:leftChars="42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氏　名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884" w:leftChars="421" w:firstLine="3990" w:firstLineChars="19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（名称及び代表者の氏名）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私は、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（注）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記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１　事業開始年月日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auto"/>
              </w:rPr>
              <w:t>　　　　年　　　月　　　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２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（１）売上高等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（イ）最近１か月間の売上高等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減少率　　　　％（実績）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Ｂ－Ａ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×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>100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Ａ：災害等の発生における最近１か月間の売上高等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 w:firstLine="1470" w:firstLineChars="7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　　　年　　　月）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Ｂ：Ａの期間に対応する前年１か月間の売上高等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 w:firstLine="1470" w:firstLineChars="7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　　　年　　　月）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（ロ）最近３か月間の売上高等の実績見込み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％（実績見込み）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（Ｂ＋Ｄ）－（Ａ＋Ｃ）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Ｂ＋Ｄ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×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>100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Ｃ：Ａの期間後２か月間の見込み売上高等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 w:firstLine="1470" w:firstLineChars="7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　　　年　　　月～　　　年　　　月）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Ｄ：Ｃの期間に対応する前年の２か月間の売上高等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 w:firstLine="1470" w:firstLineChars="7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　　　年　　　月～　　　年　　　月）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317" w:leftChars="151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３　売上高等が減少し、又は減少すると見込まれる理由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53340</wp:posOffset>
                      </wp:positionV>
                      <wp:extent cx="5090160" cy="205740"/>
                      <wp:effectExtent l="635" t="635" r="29845" b="10795"/>
                      <wp:wrapNone/>
                      <wp:docPr id="1026" name="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2"/>
                            <wps:cNvSpPr/>
                            <wps:spPr>
                              <a:xfrm>
                                <a:off x="0" y="0"/>
                                <a:ext cx="5090160" cy="20574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style="mso-position-vertical-relative:text;z-index:3;mso-wrap-distance-left:9pt;width:400.8pt;height:16.2pt;mso-position-horizontal-relative:text;position:absolute;margin-left:30.45pt;margin-top:4.2pt;mso-wrap-distance-bottom:0pt;mso-wrap-distance-right:9pt;mso-wrap-distance-top:0pt;" o:spid="_x0000_s1026" o:allowincell="t" o:allowoverlap="t" filled="f" stroked="t" strokecolor="#000000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margin">
                        <wp:posOffset>386715</wp:posOffset>
                      </wp:positionH>
                      <wp:positionV relativeFrom="paragraph">
                        <wp:posOffset>168910</wp:posOffset>
                      </wp:positionV>
                      <wp:extent cx="4869180" cy="0"/>
                      <wp:effectExtent l="0" t="635" r="29210" b="10795"/>
                      <wp:wrapNone/>
                      <wp:docPr id="1027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1"/>
                            <wps:cNvSpPr/>
                            <wps:spPr>
                              <a:xfrm>
                                <a:off x="0" y="0"/>
                                <a:ext cx="486918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position-vertical-relative:text;z-index:2;mso-position-horizontal-relative:margin;position:absolute;mso-wrap-distance-bottom:0pt;mso-wrap-distance-left:9pt;mso-wrap-distance-right:9pt;" o:spid="_x0000_s1027" o:allowincell="t" o:allowoverlap="t" filled="f" stroked="t" strokecolor="#000000" strokeweight="0.75pt" o:spt="20" from="30.450000000000003pt,13.3pt" to="413.85pt,13.3pt">
                      <v:fill/>
                      <v:stroke linestyle="single" endcap="flat" dashstyle="longdashdot" filltype="solid"/>
                      <v:textbox style="layout-flow:horizontal;"/>
                      <v:imagedata o:title=""/>
                      <w10:wrap type="none" anchorx="margin" anchory="text"/>
                    </v:lin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</w:rPr>
              <w:t>寄産収第　　　　　号　　　　　　　　　　　　　令和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</w:rPr>
              <w:t>　申請のとおり、相違ないことを認定します。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</w:rPr>
              <w:t>（注）信用保証協会への申込期間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="649" w:firstLineChars="268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</w:rPr>
              <w:t>令和　　　年　　　月　　　日から令和　　　年　　　月　　　日まで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PMingLiU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</w:rPr>
              <w:t>　　　　　　　　　　　　　　　　　　　寄居町長　</w:t>
            </w: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</w:tc>
      </w:tr>
    </w:tbl>
    <w:p>
      <w:pPr>
        <w:pStyle w:val="0"/>
        <w:suppressAutoHyphens w:val="1"/>
        <w:wordWrap w:val="0"/>
        <w:spacing w:line="246" w:lineRule="exac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  <w:sz w:val="18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8"/>
        </w:rPr>
        <w:t>（注）</w:t>
      </w:r>
      <w:r>
        <w:rPr>
          <w:rFonts w:hint="eastAsia" w:ascii="ＭＳ ゴシック" w:hAnsi="ＭＳ ゴシック" w:eastAsia="ＭＳ ゴシック"/>
          <w:color w:val="000000"/>
          <w:kern w:val="0"/>
          <w:sz w:val="18"/>
          <w:u w:val="single" w:color="000000"/>
        </w:rPr>
        <w:t>　　　（注）</w:t>
      </w:r>
      <w:r>
        <w:rPr>
          <w:rFonts w:hint="eastAsia" w:ascii="ＭＳ ゴシック" w:hAnsi="ＭＳ ゴシック" w:eastAsia="ＭＳ ゴシック"/>
          <w:color w:val="000000"/>
          <w:kern w:val="0"/>
          <w:sz w:val="18"/>
        </w:rPr>
        <w:t>には、「災害その他突発的に生じた事由」を入れる。</w:t>
      </w:r>
    </w:p>
    <w:p>
      <w:pPr>
        <w:pStyle w:val="0"/>
        <w:suppressAutoHyphens w:val="1"/>
        <w:wordWrap w:val="0"/>
        <w:spacing w:line="246" w:lineRule="exact"/>
        <w:ind w:left="1230" w:hanging="1230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  <w:sz w:val="18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8"/>
        </w:rPr>
        <w:t>（留意事項）</w:t>
      </w:r>
    </w:p>
    <w:p>
      <w:pPr>
        <w:pStyle w:val="24"/>
        <w:numPr>
          <w:ilvl w:val="0"/>
          <w:numId w:val="1"/>
        </w:numPr>
        <w:ind w:leftChars="0"/>
        <w:rPr>
          <w:rFonts w:hint="default" w:ascii="ＭＳ ゴシック" w:hAnsi="ＭＳ ゴシック" w:eastAsia="ＭＳ ゴシック"/>
          <w:spacing w:val="16"/>
          <w:sz w:val="18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8"/>
        </w:rPr>
        <w:t>本認定とは別に、金融機関及び信用保証協会による金融上の審査があります。</w:t>
      </w:r>
    </w:p>
    <w:p>
      <w:pPr>
        <w:pStyle w:val="24"/>
        <w:numPr>
          <w:ilvl w:val="0"/>
          <w:numId w:val="1"/>
        </w:numPr>
        <w:suppressAutoHyphens w:val="1"/>
        <w:wordWrap w:val="0"/>
        <w:spacing w:line="260" w:lineRule="exact"/>
        <w:ind w:leftChars="0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市町村長又は特別区長から認定を受けた日から３０日以内に金融機関又は信用保証協会に対して、保証の申込みを行うことが必要です。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type w:val="continuous"/>
      <w:pgSz w:w="11906" w:h="16838"/>
      <w:pgMar w:top="1134" w:right="1418" w:bottom="851" w:left="1418" w:header="851" w:footer="0" w:gutter="0"/>
      <w:pgNumType w:fmt="numberInDash" w:start="1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 w:ascii="ＭＳ ゴシック" w:hAnsi="ＭＳ ゴシック" w:eastAsia="ＭＳ ゴシック"/>
      </w:rPr>
      <w:t>R6.12.1</w:t>
    </w:r>
    <w:r>
      <w:rPr>
        <w:rFonts w:hint="eastAsia" w:ascii="ＭＳ ゴシック" w:hAnsi="ＭＳ ゴシック" w:eastAsia="ＭＳ ゴシック"/>
      </w:rPr>
      <w:t>～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2" w:hanging="440"/>
      </w:pPr>
    </w:lvl>
    <w:lvl w:ilvl="2" w:tplc="04090011">
      <w:start w:val="1"/>
      <w:numFmt w:val="decimalEnclosedCircle"/>
      <w:lvlText w:val="%3"/>
      <w:lvlJc w:val="left"/>
      <w:pPr>
        <w:ind w:left="1562" w:hanging="440"/>
      </w:pPr>
    </w:lvl>
    <w:lvl w:ilvl="3" w:tplc="0409000F">
      <w:start w:val="1"/>
      <w:numFmt w:val="decimal"/>
      <w:lvlText w:val="%4."/>
      <w:lvlJc w:val="left"/>
      <w:pPr>
        <w:ind w:left="2002" w:hanging="440"/>
      </w:pPr>
    </w:lvl>
    <w:lvl w:ilvl="4" w:tplc="04090017">
      <w:start w:val="1"/>
      <w:numFmt w:val="aiueoFullWidth"/>
      <w:lvlText w:val="(%5)"/>
      <w:lvlJc w:val="left"/>
      <w:pPr>
        <w:ind w:left="2442" w:hanging="440"/>
      </w:pPr>
    </w:lvl>
    <w:lvl w:ilvl="5" w:tplc="04090011">
      <w:start w:val="1"/>
      <w:numFmt w:val="decimalEnclosedCircle"/>
      <w:lvlText w:val="%6"/>
      <w:lvlJc w:val="left"/>
      <w:pPr>
        <w:ind w:left="2882" w:hanging="440"/>
      </w:pPr>
    </w:lvl>
    <w:lvl w:ilvl="6" w:tplc="0409000F">
      <w:start w:val="1"/>
      <w:numFmt w:val="decimal"/>
      <w:lvlText w:val="%7."/>
      <w:lvlJc w:val="left"/>
      <w:pPr>
        <w:ind w:left="3322" w:hanging="440"/>
      </w:pPr>
    </w:lvl>
    <w:lvl w:ilvl="7" w:tplc="04090017">
      <w:start w:val="1"/>
      <w:numFmt w:val="aiueoFullWidth"/>
      <w:lvlText w:val="(%8)"/>
      <w:lvlJc w:val="left"/>
      <w:pPr>
        <w:ind w:left="3762" w:hanging="440"/>
      </w:pPr>
    </w:lvl>
    <w:lvl w:ilvl="8" w:tplc="04090011">
      <w:start w:val="1"/>
      <w:numFmt w:val="decimalEnclosedCircle"/>
      <w:lvlText w:val="%9"/>
      <w:lvlJc w:val="left"/>
      <w:pPr>
        <w:ind w:left="4202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3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38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30"/>
    <w:uiPriority w:val="0"/>
    <w:semiHidden/>
    <w:pPr>
      <w:jc w:val="left"/>
    </w:pPr>
  </w:style>
  <w:style w:type="paragraph" w:styleId="21">
    <w:name w:val="annotation subject"/>
    <w:basedOn w:val="20"/>
    <w:next w:val="20"/>
    <w:link w:val="40"/>
    <w:uiPriority w:val="0"/>
    <w:semiHidden/>
    <w:rPr>
      <w:b w:val="1"/>
    </w:rPr>
  </w:style>
  <w:style w:type="character" w:styleId="22" w:customStyle="1">
    <w:name w:val="ヘッダー (文字)"/>
    <w:next w:val="22"/>
    <w:link w:val="16"/>
    <w:uiPriority w:val="0"/>
    <w:rPr>
      <w:kern w:val="2"/>
      <w:sz w:val="21"/>
    </w:rPr>
  </w:style>
  <w:style w:type="character" w:styleId="23" w:customStyle="1">
    <w:name w:val="フッター (文字)"/>
    <w:next w:val="23"/>
    <w:link w:val="17"/>
    <w:uiPriority w:val="0"/>
    <w:rPr>
      <w:kern w:val="2"/>
      <w:sz w:val="2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next w:val="26"/>
    <w:link w:val="25"/>
    <w:uiPriority w:val="0"/>
    <w:rPr>
      <w:kern w:val="2"/>
      <w:sz w:val="21"/>
    </w:rPr>
  </w:style>
  <w:style w:type="paragraph" w:styleId="27">
    <w:name w:val="Plain Text"/>
    <w:basedOn w:val="0"/>
    <w:next w:val="27"/>
    <w:link w:val="28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28" w:customStyle="1">
    <w:name w:val="書式なし (文字)"/>
    <w:next w:val="28"/>
    <w:link w:val="27"/>
    <w:uiPriority w:val="0"/>
    <w:rPr>
      <w:rFonts w:ascii="ＭＳ ゴシック" w:hAnsi="ＭＳ ゴシック" w:eastAsia="ＭＳ ゴシック"/>
      <w:kern w:val="2"/>
    </w:rPr>
  </w:style>
  <w:style w:type="paragraph" w:styleId="29">
    <w:name w:val="Revision"/>
    <w:next w:val="29"/>
    <w:link w:val="0"/>
    <w:uiPriority w:val="0"/>
    <w:rPr>
      <w:kern w:val="2"/>
      <w:sz w:val="21"/>
    </w:rPr>
  </w:style>
  <w:style w:type="character" w:styleId="30" w:customStyle="1">
    <w:name w:val="コメント文字列 (文字)"/>
    <w:basedOn w:val="10"/>
    <w:next w:val="30"/>
    <w:link w:val="20"/>
    <w:uiPriority w:val="0"/>
    <w:rPr>
      <w:kern w:val="2"/>
      <w:sz w:val="21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ＭＳ ゴシック" w:hAnsi="ＭＳ ゴシック" w:eastAsia="ＭＳ ゴシック"/>
      <w:color w:val="000000"/>
      <w:kern w:val="0"/>
    </w:rPr>
  </w:style>
  <w:style w:type="character" w:styleId="32" w:customStyle="1">
    <w:name w:val="記 (文字)"/>
    <w:basedOn w:val="10"/>
    <w:next w:val="32"/>
    <w:link w:val="31"/>
    <w:uiPriority w:val="0"/>
    <w:rPr>
      <w:rFonts w:ascii="ＭＳ ゴシック" w:hAnsi="ＭＳ ゴシック" w:eastAsia="ＭＳ ゴシック"/>
      <w:color w:val="000000"/>
      <w:sz w:val="21"/>
    </w:rPr>
  </w:style>
  <w:style w:type="paragraph" w:styleId="33">
    <w:name w:val="Closing"/>
    <w:basedOn w:val="0"/>
    <w:next w:val="33"/>
    <w:link w:val="34"/>
    <w:uiPriority w:val="0"/>
    <w:pPr>
      <w:jc w:val="right"/>
    </w:pPr>
    <w:rPr>
      <w:rFonts w:ascii="ＭＳ ゴシック" w:hAnsi="ＭＳ ゴシック" w:eastAsia="ＭＳ ゴシック"/>
      <w:color w:val="000000"/>
      <w:kern w:val="0"/>
    </w:rPr>
  </w:style>
  <w:style w:type="character" w:styleId="34" w:customStyle="1">
    <w:name w:val="結語 (文字)"/>
    <w:basedOn w:val="10"/>
    <w:next w:val="34"/>
    <w:link w:val="33"/>
    <w:uiPriority w:val="0"/>
    <w:rPr>
      <w:rFonts w:ascii="ＭＳ ゴシック" w:hAnsi="ＭＳ ゴシック" w:eastAsia="ＭＳ ゴシック"/>
      <w:color w:val="000000"/>
      <w:sz w:val="21"/>
    </w:rPr>
  </w:style>
  <w:style w:type="character" w:styleId="35" w:customStyle="1">
    <w:name w:val="見出し 1 (文字)"/>
    <w:basedOn w:val="10"/>
    <w:next w:val="35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36" w:customStyle="1">
    <w:name w:val="見出し 2 (文字)"/>
    <w:basedOn w:val="10"/>
    <w:next w:val="36"/>
    <w:link w:val="2"/>
    <w:uiPriority w:val="0"/>
    <w:rPr>
      <w:rFonts w:asciiTheme="majorHAnsi" w:hAnsiTheme="majorHAnsi" w:eastAsiaTheme="majorEastAsia"/>
      <w:kern w:val="2"/>
      <w:sz w:val="21"/>
    </w:rPr>
  </w:style>
  <w:style w:type="paragraph" w:styleId="37">
    <w:name w:val="TOC Heading"/>
    <w:basedOn w:val="1"/>
    <w:next w:val="0"/>
    <w:link w:val="0"/>
    <w:uiPriority w:val="0"/>
    <w:qFormat/>
    <w:pPr>
      <w:outlineLvl w:val="9"/>
    </w:pPr>
  </w:style>
  <w:style w:type="character" w:styleId="38" w:customStyle="1">
    <w:name w:val="吹き出し (文字)"/>
    <w:basedOn w:val="10"/>
    <w:next w:val="38"/>
    <w:link w:val="15"/>
    <w:uiPriority w:val="0"/>
    <w:rPr>
      <w:rFonts w:ascii="Arial" w:hAnsi="Arial" w:eastAsia="ＭＳ ゴシック"/>
      <w:kern w:val="2"/>
      <w:sz w:val="18"/>
    </w:rPr>
  </w:style>
  <w:style w:type="character" w:styleId="39">
    <w:name w:val="Placeholder Text"/>
    <w:basedOn w:val="10"/>
    <w:next w:val="39"/>
    <w:link w:val="0"/>
    <w:uiPriority w:val="0"/>
    <w:rPr>
      <w:color w:val="808080"/>
    </w:rPr>
  </w:style>
  <w:style w:type="character" w:styleId="40" w:customStyle="1">
    <w:name w:val="コメント内容 (文字)"/>
    <w:basedOn w:val="30"/>
    <w:next w:val="40"/>
    <w:link w:val="21"/>
    <w:uiPriority w:val="0"/>
    <w:rPr>
      <w:b w:val="1"/>
      <w:kern w:val="2"/>
      <w:sz w:val="21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character" w:styleId="43" w:customStyle="1">
    <w:name w:val="p"/>
    <w:basedOn w:val="10"/>
    <w:next w:val="43"/>
    <w:link w:val="0"/>
    <w:uiPriority w:val="0"/>
  </w:style>
  <w:style w:type="character" w:styleId="44">
    <w:name w:val="Hyperlink"/>
    <w:basedOn w:val="10"/>
    <w:next w:val="44"/>
    <w:link w:val="0"/>
    <w:uiPriority w:val="0"/>
    <w:rPr>
      <w:color w:val="0000FF" w:themeColor="hyperlink"/>
      <w:u w:val="single" w:color="auto"/>
    </w:rPr>
  </w:style>
  <w:style w:type="character" w:styleId="45" w:customStyle="1">
    <w:name w:val="Unresolved Mention"/>
    <w:basedOn w:val="10"/>
    <w:next w:val="45"/>
    <w:link w:val="0"/>
    <w:uiPriority w:val="0"/>
    <w:rPr>
      <w:color w:val="605E5C"/>
      <w:shd w:val="clear" w:color="auto" w:fill="E1DFDD"/>
    </w:rPr>
  </w:style>
  <w:style w:type="table" w:styleId="46">
    <w:name w:val="Table Grid"/>
    <w:basedOn w:val="11"/>
    <w:next w:val="4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2</Words>
  <Characters>575</Characters>
  <Application>JUST Note</Application>
  <Lines>63</Lines>
  <Paragraphs>38</Paragraphs>
  <Company>METI</Company>
  <CharactersWithSpaces>1203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181128_ＳＮ照会回答事例集（案）ｒｒ.docx</dc:title>
  <dc:creator>田中 明夫</dc:creator>
  <cp:lastModifiedBy>上田　圭一郎</cp:lastModifiedBy>
  <cp:lastPrinted>2024-09-30T11:50:00Z</cp:lastPrinted>
  <dcterms:created xsi:type="dcterms:W3CDTF">2024-09-30T11:54:00Z</dcterms:created>
  <dcterms:modified xsi:type="dcterms:W3CDTF">2026-04-14T01:03:18Z</dcterms:modified>
  <cp:revision>19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0x0101008480E3EC14751440BBBBA5127164FAD6</vt:lpwstr>
  </property>
</Properties>
</file>